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4"/>
          <w:szCs w:val="44"/>
          <w:lang w:val="en-US" w:eastAsia="zh-CN"/>
        </w:rPr>
      </w:pPr>
      <w:r>
        <w:rPr>
          <w:rFonts w:hint="eastAsia"/>
          <w:b/>
          <w:bCs/>
          <w:sz w:val="52"/>
          <w:szCs w:val="52"/>
          <w:lang w:val="en-US" w:eastAsia="zh-CN"/>
        </w:rPr>
        <w:t>朔州市民政局随机抽查事项清单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5836"/>
        <w:gridCol w:w="2130"/>
        <w:gridCol w:w="945"/>
        <w:gridCol w:w="870"/>
        <w:gridCol w:w="885"/>
        <w:gridCol w:w="94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jc w:val="center"/>
              <w:rPr>
                <w:rFonts w:hint="default"/>
                <w:sz w:val="44"/>
                <w:szCs w:val="44"/>
                <w:vertAlign w:val="baseline"/>
                <w:lang w:val="en-US" w:eastAsia="zh-CN"/>
              </w:rPr>
            </w:pPr>
            <w:r>
              <w:rPr>
                <w:rFonts w:hint="eastAsia" w:ascii="仿宋_GB2312" w:hAnsi="仿宋_GB2312" w:eastAsia="仿宋_GB2312" w:cs="仿宋_GB2312"/>
                <w:sz w:val="32"/>
                <w:szCs w:val="32"/>
                <w:lang w:val="en-US" w:eastAsia="zh-CN"/>
              </w:rPr>
              <w:t>抽查事项</w:t>
            </w:r>
          </w:p>
        </w:tc>
        <w:tc>
          <w:tcPr>
            <w:tcW w:w="5836" w:type="dxa"/>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检查依据</w:t>
            </w:r>
          </w:p>
        </w:tc>
        <w:tc>
          <w:tcPr>
            <w:tcW w:w="2130" w:type="dxa"/>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检查内容</w:t>
            </w:r>
          </w:p>
        </w:tc>
        <w:tc>
          <w:tcPr>
            <w:tcW w:w="945" w:type="dxa"/>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检查方式</w:t>
            </w:r>
          </w:p>
        </w:tc>
        <w:tc>
          <w:tcPr>
            <w:tcW w:w="870" w:type="dxa"/>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适用对象</w:t>
            </w:r>
          </w:p>
        </w:tc>
        <w:tc>
          <w:tcPr>
            <w:tcW w:w="885" w:type="dxa"/>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抽查比例</w:t>
            </w:r>
          </w:p>
        </w:tc>
        <w:tc>
          <w:tcPr>
            <w:tcW w:w="945" w:type="dxa"/>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抽查频次</w:t>
            </w:r>
          </w:p>
        </w:tc>
        <w:tc>
          <w:tcPr>
            <w:tcW w:w="855" w:type="dxa"/>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tcPr>
          <w:p>
            <w:pPr>
              <w:jc w:val="center"/>
              <w:rPr>
                <w:rFonts w:hint="eastAsia" w:ascii="仿宋_GB2312" w:hAnsi="仿宋_GB2312" w:eastAsia="仿宋_GB2312" w:cs="仿宋_GB2312"/>
                <w:sz w:val="32"/>
                <w:szCs w:val="32"/>
                <w:lang w:val="en-US" w:eastAsia="zh-CN"/>
              </w:rPr>
            </w:pP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殡葬</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基础</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设施</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w:t>
            </w: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及殡</w:t>
            </w: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仪服</w:t>
            </w: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务监</w:t>
            </w: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w:t>
            </w:r>
          </w:p>
          <w:p>
            <w:pPr>
              <w:ind w:left="319" w:leftChars="152" w:firstLine="960" w:firstLineChars="3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left="319" w:leftChars="152" w:firstLine="960" w:firstLineChars="300"/>
              <w:jc w:val="both"/>
              <w:rPr>
                <w:rFonts w:hint="eastAsia" w:ascii="仿宋_GB2312" w:hAnsi="仿宋_GB2312" w:eastAsia="仿宋_GB2312" w:cs="仿宋_GB2312"/>
                <w:sz w:val="32"/>
                <w:szCs w:val="32"/>
                <w:lang w:val="en-US" w:eastAsia="zh-CN"/>
              </w:rPr>
            </w:pP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殡葬</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基础</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设施</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w:t>
            </w: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及殡</w:t>
            </w: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仪服</w:t>
            </w: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务监</w:t>
            </w:r>
          </w:p>
          <w:p>
            <w:p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w:t>
            </w:r>
          </w:p>
          <w:p>
            <w:pPr>
              <w:jc w:val="center"/>
              <w:rPr>
                <w:rFonts w:hint="default" w:ascii="仿宋_GB2312" w:hAnsi="仿宋_GB2312" w:eastAsia="仿宋_GB2312" w:cs="仿宋_GB2312"/>
                <w:sz w:val="32"/>
                <w:szCs w:val="32"/>
                <w:lang w:val="en-US" w:eastAsia="zh-CN"/>
              </w:rPr>
            </w:pPr>
          </w:p>
        </w:tc>
        <w:tc>
          <w:tcPr>
            <w:tcW w:w="5836" w:type="dxa"/>
          </w:tcPr>
          <w:p>
            <w:pPr>
              <w:keepNext w:val="0"/>
              <w:keepLines w:val="0"/>
              <w:pageBreakBefore w:val="0"/>
              <w:kinsoku/>
              <w:wordWrap/>
              <w:overflowPunct/>
              <w:topLinePunct w:val="0"/>
              <w:autoSpaceDE/>
              <w:autoSpaceDN/>
              <w:bidi w:val="0"/>
              <w:spacing w:line="540" w:lineRule="exact"/>
              <w:textAlignment w:val="auto"/>
              <w:rPr>
                <w:rFonts w:hint="eastAsia" w:ascii="仿宋_GB2312" w:hAnsi="宋体" w:eastAsia="仿宋_GB2312"/>
                <w:sz w:val="32"/>
                <w:szCs w:val="32"/>
              </w:rPr>
            </w:pPr>
            <w:r>
              <w:rPr>
                <w:rFonts w:hint="eastAsia" w:ascii="仿宋_GB2312" w:hAnsi="宋体" w:eastAsia="仿宋_GB2312"/>
                <w:sz w:val="32"/>
                <w:szCs w:val="32"/>
              </w:rPr>
              <w:t>《中华人民共和国殡葬管理条例》</w:t>
            </w:r>
          </w:p>
          <w:p>
            <w:pPr>
              <w:keepNext w:val="0"/>
              <w:keepLines w:val="0"/>
              <w:pageBreakBefore w:val="0"/>
              <w:kinsoku/>
              <w:wordWrap/>
              <w:overflowPunct/>
              <w:topLinePunct w:val="0"/>
              <w:autoSpaceDE/>
              <w:autoSpaceDN/>
              <w:bidi w:val="0"/>
              <w:spacing w:line="540" w:lineRule="exact"/>
              <w:textAlignment w:val="auto"/>
              <w:rPr>
                <w:rFonts w:hint="eastAsia" w:ascii="仿宋_GB2312" w:hAnsi="宋体" w:eastAsia="仿宋_GB2312"/>
                <w:sz w:val="32"/>
                <w:szCs w:val="32"/>
              </w:rPr>
            </w:pPr>
            <w:r>
              <w:rPr>
                <w:rFonts w:hint="eastAsia" w:ascii="仿宋_GB2312" w:hAnsi="宋体" w:eastAsia="仿宋_GB2312"/>
                <w:sz w:val="32"/>
                <w:szCs w:val="32"/>
              </w:rPr>
              <w:t>第十条</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禁止在下列地区建造坟墓</w:t>
            </w:r>
            <w:r>
              <w:rPr>
                <w:rFonts w:hint="eastAsia" w:ascii="仿宋_GB2312" w:hAnsi="宋体" w:eastAsia="仿宋_GB2312"/>
                <w:sz w:val="32"/>
                <w:szCs w:val="32"/>
                <w:lang w:eastAsia="zh-CN"/>
              </w:rPr>
              <w:t>：</w:t>
            </w:r>
            <w:r>
              <w:rPr>
                <w:rFonts w:hint="eastAsia" w:ascii="仿宋_GB2312" w:hAnsi="宋体" w:eastAsia="仿宋_GB2312"/>
                <w:sz w:val="32"/>
                <w:szCs w:val="32"/>
              </w:rPr>
              <w:t>(</w:t>
            </w:r>
            <w:r>
              <w:rPr>
                <w:rFonts w:hint="eastAsia" w:ascii="仿宋_GB2312" w:hAnsi="宋体" w:eastAsia="仿宋_GB2312"/>
                <w:sz w:val="32"/>
                <w:szCs w:val="32"/>
                <w:lang w:val="en-US" w:eastAsia="zh-CN"/>
              </w:rPr>
              <w:t>一</w:t>
            </w:r>
            <w:r>
              <w:rPr>
                <w:rFonts w:hint="eastAsia" w:ascii="仿宋_GB2312" w:hAnsi="宋体" w:eastAsia="仿宋_GB2312"/>
                <w:sz w:val="32"/>
                <w:szCs w:val="32"/>
              </w:rPr>
              <w:t>)耕地、林地</w:t>
            </w:r>
            <w:r>
              <w:rPr>
                <w:rFonts w:hint="eastAsia" w:ascii="仿宋_GB2312" w:hAnsi="宋体" w:eastAsia="仿宋_GB2312"/>
                <w:sz w:val="32"/>
                <w:szCs w:val="32"/>
                <w:lang w:eastAsia="zh-CN"/>
              </w:rPr>
              <w:t>；</w:t>
            </w:r>
            <w:r>
              <w:rPr>
                <w:rFonts w:hint="eastAsia" w:ascii="仿宋_GB2312" w:hAnsi="宋体" w:eastAsia="仿宋_GB2312"/>
                <w:sz w:val="32"/>
                <w:szCs w:val="32"/>
              </w:rPr>
              <w:t>(二)城市公园、风景名胜区和文物保护区；(三)水库及河流堤坝附近和水源保护区；(四)铁路、公路主干线两侧。</w:t>
            </w:r>
          </w:p>
          <w:p>
            <w:pPr>
              <w:keepNext w:val="0"/>
              <w:keepLines w:val="0"/>
              <w:pageBreakBefore w:val="0"/>
              <w:numPr>
                <w:ilvl w:val="0"/>
                <w:numId w:val="0"/>
              </w:numPr>
              <w:kinsoku/>
              <w:wordWrap/>
              <w:overflowPunct/>
              <w:topLinePunct w:val="0"/>
              <w:autoSpaceDE/>
              <w:autoSpaceDN/>
              <w:bidi w:val="0"/>
              <w:spacing w:line="540" w:lineRule="exact"/>
              <w:textAlignment w:val="auto"/>
              <w:rPr>
                <w:rFonts w:hint="eastAsia" w:ascii="仿宋_GB2312" w:hAnsi="宋体" w:eastAsia="仿宋_GB2312"/>
                <w:sz w:val="32"/>
                <w:szCs w:val="32"/>
              </w:rPr>
            </w:pPr>
            <w:r>
              <w:rPr>
                <w:rFonts w:hint="eastAsia" w:ascii="仿宋_GB2312" w:hAnsi="宋体" w:eastAsia="仿宋_GB2312"/>
                <w:sz w:val="32"/>
                <w:szCs w:val="32"/>
              </w:rPr>
              <w:t>第十一条</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严格限制公墓</w:t>
            </w:r>
            <w:r>
              <w:rPr>
                <w:rFonts w:hint="eastAsia" w:ascii="仿宋_GB2312" w:hAnsi="宋体" w:eastAsia="仿宋_GB2312"/>
                <w:sz w:val="32"/>
                <w:szCs w:val="32"/>
                <w:lang w:val="en-US" w:eastAsia="zh-CN"/>
              </w:rPr>
              <w:t>的</w:t>
            </w:r>
            <w:r>
              <w:rPr>
                <w:rFonts w:hint="eastAsia" w:ascii="仿宋_GB2312" w:hAnsi="宋体" w:eastAsia="仿宋_GB2312"/>
                <w:sz w:val="32"/>
                <w:szCs w:val="32"/>
              </w:rPr>
              <w:t>占地面积和使用年限。按照规</w:t>
            </w:r>
            <w:r>
              <w:rPr>
                <w:rFonts w:hint="eastAsia" w:ascii="仿宋_GB2312" w:hAnsi="宋体" w:eastAsia="仿宋_GB2312"/>
                <w:sz w:val="32"/>
                <w:szCs w:val="32"/>
                <w:lang w:val="en-US" w:eastAsia="zh-CN"/>
              </w:rPr>
              <w:t>定</w:t>
            </w:r>
            <w:r>
              <w:rPr>
                <w:rFonts w:hint="eastAsia" w:ascii="仿宋_GB2312" w:hAnsi="宋体" w:eastAsia="仿宋_GB2312"/>
                <w:sz w:val="32"/>
                <w:szCs w:val="32"/>
              </w:rPr>
              <w:t>允许土</w:t>
            </w:r>
            <w:r>
              <w:rPr>
                <w:rFonts w:hint="eastAsia" w:ascii="仿宋_GB2312" w:hAnsi="宋体" w:eastAsia="仿宋_GB2312"/>
                <w:sz w:val="32"/>
                <w:szCs w:val="32"/>
                <w:lang w:val="en-US" w:eastAsia="zh-CN"/>
              </w:rPr>
              <w:t>葬</w:t>
            </w:r>
            <w:r>
              <w:rPr>
                <w:rFonts w:hint="eastAsia" w:ascii="仿宋_GB2312" w:hAnsi="宋体" w:eastAsia="仿宋_GB2312"/>
                <w:sz w:val="32"/>
                <w:szCs w:val="32"/>
              </w:rPr>
              <w:t>或者允许埋葬骨灰的，</w:t>
            </w:r>
            <w:r>
              <w:rPr>
                <w:rFonts w:hint="eastAsia" w:ascii="仿宋_GB2312" w:hAnsi="宋体" w:eastAsia="仿宋_GB2312"/>
                <w:sz w:val="32"/>
                <w:szCs w:val="32"/>
                <w:lang w:val="en-US" w:eastAsia="zh-CN"/>
              </w:rPr>
              <w:t>埋葬</w:t>
            </w:r>
            <w:r>
              <w:rPr>
                <w:rFonts w:hint="eastAsia" w:ascii="仿宋_GB2312" w:hAnsi="宋体" w:eastAsia="仿宋_GB2312"/>
                <w:sz w:val="32"/>
                <w:szCs w:val="32"/>
              </w:rPr>
              <w:t>遗体或者</w:t>
            </w:r>
            <w:r>
              <w:rPr>
                <w:rFonts w:hint="eastAsia" w:ascii="仿宋_GB2312" w:hAnsi="宋体" w:eastAsia="仿宋_GB2312"/>
                <w:sz w:val="32"/>
                <w:szCs w:val="32"/>
                <w:lang w:val="en-US" w:eastAsia="zh-CN"/>
              </w:rPr>
              <w:t>埋葬</w:t>
            </w:r>
            <w:r>
              <w:rPr>
                <w:rFonts w:hint="eastAsia" w:ascii="仿宋_GB2312" w:hAnsi="宋体" w:eastAsia="仿宋_GB2312"/>
                <w:sz w:val="32"/>
                <w:szCs w:val="32"/>
              </w:rPr>
              <w:t>骨灰的墓穴占地面积和使用年限，由省</w:t>
            </w:r>
            <w:r>
              <w:rPr>
                <w:rFonts w:hint="eastAsia" w:ascii="仿宋_GB2312" w:hAnsi="宋体" w:eastAsia="仿宋_GB2312"/>
                <w:sz w:val="32"/>
                <w:szCs w:val="32"/>
                <w:lang w:eastAsia="zh-CN"/>
              </w:rPr>
              <w:t>、</w:t>
            </w:r>
            <w:r>
              <w:rPr>
                <w:rFonts w:hint="eastAsia" w:ascii="仿宋_GB2312" w:hAnsi="宋体" w:eastAsia="仿宋_GB2312"/>
                <w:sz w:val="32"/>
                <w:szCs w:val="32"/>
              </w:rPr>
              <w:t>自治区</w:t>
            </w:r>
            <w:r>
              <w:rPr>
                <w:rFonts w:hint="eastAsia" w:ascii="仿宋_GB2312" w:hAnsi="宋体" w:eastAsia="仿宋_GB2312"/>
                <w:sz w:val="32"/>
                <w:szCs w:val="32"/>
                <w:lang w:val="en-US" w:eastAsia="zh-CN"/>
              </w:rPr>
              <w:t>或</w:t>
            </w:r>
            <w:r>
              <w:rPr>
                <w:rFonts w:hint="eastAsia" w:ascii="仿宋_GB2312" w:hAnsi="宋体" w:eastAsia="仿宋_GB2312"/>
                <w:sz w:val="32"/>
                <w:szCs w:val="32"/>
              </w:rPr>
              <w:t>直辖市人民政府按照节约土地、不占耕地的原则规定。</w:t>
            </w:r>
          </w:p>
          <w:p>
            <w:pPr>
              <w:keepNext w:val="0"/>
              <w:keepLines w:val="0"/>
              <w:pageBreakBefore w:val="0"/>
              <w:numPr>
                <w:ilvl w:val="0"/>
                <w:numId w:val="0"/>
              </w:numPr>
              <w:kinsoku/>
              <w:wordWrap/>
              <w:overflowPunct/>
              <w:topLinePunct w:val="0"/>
              <w:autoSpaceDE/>
              <w:autoSpaceDN/>
              <w:bidi w:val="0"/>
              <w:spacing w:line="540" w:lineRule="exact"/>
              <w:textAlignment w:val="auto"/>
              <w:rPr>
                <w:rFonts w:hint="eastAsia" w:ascii="仿宋_GB2312" w:hAnsi="宋体" w:eastAsia="仿宋_GB2312"/>
                <w:sz w:val="32"/>
                <w:szCs w:val="32"/>
              </w:rPr>
            </w:pPr>
            <w:r>
              <w:rPr>
                <w:rFonts w:hint="eastAsia" w:ascii="仿宋_GB2312" w:hAnsi="宋体" w:eastAsia="仿宋_GB2312"/>
                <w:sz w:val="32"/>
                <w:szCs w:val="32"/>
              </w:rPr>
              <w:t>第十二条</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殡葬服务单位应当加强对殡葬服务设施的管理，更新、改造陈旧的火化设备，防止污染环境。殡仪服务人员应当遵守操作规程和职业道德，实行规范化的文明服务，不得利用工作之便索取财物。</w:t>
            </w:r>
          </w:p>
          <w:p>
            <w:pPr>
              <w:keepNext w:val="0"/>
              <w:keepLines w:val="0"/>
              <w:pageBreakBefore w:val="0"/>
              <w:numPr>
                <w:ilvl w:val="0"/>
                <w:numId w:val="0"/>
              </w:numPr>
              <w:kinsoku/>
              <w:wordWrap/>
              <w:overflowPunct/>
              <w:topLinePunct w:val="0"/>
              <w:autoSpaceDE/>
              <w:autoSpaceDN/>
              <w:bidi w:val="0"/>
              <w:spacing w:line="540" w:lineRule="exact"/>
              <w:textAlignment w:val="auto"/>
              <w:rPr>
                <w:rFonts w:hint="eastAsia" w:ascii="方正小标宋简体" w:eastAsia="方正小标宋简体"/>
                <w:sz w:val="44"/>
                <w:szCs w:val="44"/>
              </w:rPr>
            </w:pPr>
            <w:r>
              <w:rPr>
                <w:rFonts w:hint="eastAsia" w:ascii="仿宋_GB2312" w:hAnsi="宋体" w:eastAsia="仿宋_GB2312"/>
                <w:sz w:val="32"/>
                <w:szCs w:val="32"/>
              </w:rPr>
              <w:t>第十三条</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遗体处理必须遵守下列规定</w:t>
            </w:r>
            <w:r>
              <w:rPr>
                <w:rFonts w:hint="eastAsia" w:ascii="仿宋_GB2312" w:hAnsi="宋体" w:eastAsia="仿宋_GB2312"/>
                <w:sz w:val="32"/>
                <w:szCs w:val="32"/>
                <w:lang w:eastAsia="zh-CN"/>
              </w:rPr>
              <w:t>：</w:t>
            </w:r>
            <w:r>
              <w:rPr>
                <w:rFonts w:hint="eastAsia" w:ascii="仿宋_GB2312" w:hAnsi="宋体" w:eastAsia="仿宋_GB2312"/>
                <w:sz w:val="32"/>
                <w:szCs w:val="32"/>
              </w:rPr>
              <w:t>(一)运输遗体必须进行必要的技术处理，确保卫生，防止污染环境;(二)火化遗体必须凭公安机关或者国务院卫生行政部门规定的医疗机构出具的死亡证明。</w:t>
            </w:r>
            <w:r>
              <w:rPr>
                <w:rFonts w:hint="eastAsia" w:ascii="仿宋_GB2312" w:hAnsi="宋体" w:eastAsia="仿宋_GB2312"/>
                <w:sz w:val="32"/>
                <w:szCs w:val="32"/>
                <w:lang w:val="en-US" w:eastAsia="zh-CN"/>
              </w:rPr>
              <w:t>等其他相关法律条文。</w:t>
            </w:r>
          </w:p>
          <w:p>
            <w:pPr>
              <w:jc w:val="both"/>
              <w:rPr>
                <w:rFonts w:hint="default"/>
                <w:sz w:val="44"/>
                <w:szCs w:val="44"/>
                <w:vertAlign w:val="baseline"/>
                <w:lang w:val="en-US" w:eastAsia="zh-CN"/>
              </w:rPr>
            </w:pP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.新建殡仪馆、公益性安葬（放）设施建设项目</w:t>
            </w:r>
            <w:bookmarkStart w:id="0" w:name="_GoBack"/>
            <w:bookmarkEnd w:id="0"/>
            <w:r>
              <w:rPr>
                <w:rFonts w:hint="eastAsia" w:ascii="仿宋_GB2312" w:hAnsi="仿宋_GB2312" w:eastAsia="仿宋_GB2312" w:cs="仿宋_GB2312"/>
                <w:sz w:val="32"/>
                <w:szCs w:val="32"/>
                <w:lang w:val="en-US" w:eastAsia="zh-CN"/>
              </w:rPr>
              <w:t>的监管</w:t>
            </w:r>
            <w:r>
              <w:rPr>
                <w:rFonts w:hint="eastAsia" w:ascii="仿宋_GB2312" w:hAnsi="仿宋_GB2312" w:eastAsia="仿宋_GB2312" w:cs="仿宋_GB2312"/>
                <w:sz w:val="32"/>
                <w:szCs w:val="32"/>
                <w:lang w:eastAsia="zh-CN"/>
              </w:rPr>
              <w:t>。</w:t>
            </w:r>
          </w:p>
          <w:p>
            <w:pPr>
              <w:jc w:val="both"/>
              <w:rPr>
                <w:rFonts w:hint="default"/>
                <w:sz w:val="44"/>
                <w:szCs w:val="44"/>
                <w:vertAlign w:val="baseline"/>
                <w:lang w:val="en-US" w:eastAsia="zh-CN"/>
              </w:rPr>
            </w:pPr>
            <w:r>
              <w:rPr>
                <w:rFonts w:hint="eastAsia" w:ascii="仿宋_GB2312" w:hAnsi="仿宋_GB2312" w:eastAsia="仿宋_GB2312" w:cs="仿宋_GB2312"/>
                <w:sz w:val="32"/>
                <w:szCs w:val="32"/>
                <w:lang w:val="en-US" w:eastAsia="zh-CN"/>
              </w:rPr>
              <w:t>2.殡仪馆殡仪服务规范的监管。</w:t>
            </w:r>
          </w:p>
        </w:tc>
        <w:tc>
          <w:tcPr>
            <w:tcW w:w="945" w:type="dxa"/>
          </w:tcPr>
          <w:p>
            <w:pPr>
              <w:ind w:firstLine="640" w:firstLineChars="200"/>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p>
          <w:p>
            <w:pPr>
              <w:ind w:firstLine="640" w:firstLineChars="200"/>
              <w:jc w:val="both"/>
              <w:rPr>
                <w:rFonts w:hint="eastAsia" w:ascii="仿宋_GB2312" w:hAnsi="宋体" w:eastAsia="仿宋_GB2312"/>
                <w:sz w:val="32"/>
                <w:szCs w:val="32"/>
                <w:lang w:val="en-US" w:eastAsia="zh-CN"/>
              </w:rPr>
            </w:pPr>
          </w:p>
          <w:p>
            <w:pPr>
              <w:ind w:firstLine="640" w:firstLineChars="200"/>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rPr>
            </w:pPr>
            <w:r>
              <w:rPr>
                <w:rFonts w:hint="eastAsia" w:ascii="仿宋_GB2312" w:hAnsi="宋体" w:eastAsia="仿宋_GB2312"/>
                <w:sz w:val="32"/>
                <w:szCs w:val="32"/>
              </w:rPr>
              <w:t>实</w:t>
            </w:r>
          </w:p>
          <w:p>
            <w:pPr>
              <w:jc w:val="both"/>
              <w:rPr>
                <w:rFonts w:hint="eastAsia" w:ascii="仿宋_GB2312" w:hAnsi="宋体" w:eastAsia="仿宋_GB2312"/>
                <w:sz w:val="32"/>
                <w:szCs w:val="32"/>
              </w:rPr>
            </w:pPr>
            <w:r>
              <w:rPr>
                <w:rFonts w:hint="eastAsia" w:ascii="仿宋_GB2312" w:hAnsi="宋体" w:eastAsia="仿宋_GB2312"/>
                <w:sz w:val="32"/>
                <w:szCs w:val="32"/>
              </w:rPr>
              <w:t>地</w:t>
            </w:r>
          </w:p>
          <w:p>
            <w:pPr>
              <w:jc w:val="both"/>
              <w:rPr>
                <w:rFonts w:hint="eastAsia" w:ascii="仿宋_GB2312" w:hAnsi="宋体" w:eastAsia="仿宋_GB2312"/>
                <w:sz w:val="32"/>
                <w:szCs w:val="32"/>
              </w:rPr>
            </w:pPr>
            <w:r>
              <w:rPr>
                <w:rFonts w:hint="eastAsia" w:ascii="仿宋_GB2312" w:hAnsi="宋体" w:eastAsia="仿宋_GB2312"/>
                <w:sz w:val="32"/>
                <w:szCs w:val="32"/>
              </w:rPr>
              <w:t>核</w:t>
            </w:r>
          </w:p>
          <w:p>
            <w:pPr>
              <w:jc w:val="both"/>
              <w:rPr>
                <w:rFonts w:hint="eastAsia" w:ascii="仿宋_GB2312" w:hAnsi="宋体" w:eastAsia="仿宋_GB2312"/>
                <w:sz w:val="32"/>
                <w:szCs w:val="32"/>
              </w:rPr>
            </w:pPr>
            <w:r>
              <w:rPr>
                <w:rFonts w:hint="eastAsia" w:ascii="仿宋_GB2312" w:hAnsi="宋体" w:eastAsia="仿宋_GB2312"/>
                <w:sz w:val="32"/>
                <w:szCs w:val="32"/>
              </w:rPr>
              <w:t>查</w:t>
            </w:r>
          </w:p>
          <w:p>
            <w:pPr>
              <w:jc w:val="both"/>
              <w:rPr>
                <w:rFonts w:hint="eastAsia" w:ascii="仿宋_GB2312" w:hAnsi="宋体" w:eastAsia="仿宋_GB2312"/>
                <w:sz w:val="32"/>
                <w:szCs w:val="32"/>
              </w:rPr>
            </w:pPr>
            <w:r>
              <w:rPr>
                <w:rFonts w:hint="eastAsia" w:ascii="仿宋_GB2312" w:hAnsi="宋体" w:eastAsia="仿宋_GB2312"/>
                <w:sz w:val="32"/>
                <w:szCs w:val="32"/>
              </w:rPr>
              <w:t>、</w:t>
            </w:r>
          </w:p>
          <w:p>
            <w:pPr>
              <w:jc w:val="both"/>
              <w:rPr>
                <w:rFonts w:hint="eastAsia" w:ascii="仿宋_GB2312" w:hAnsi="宋体" w:eastAsia="仿宋_GB2312"/>
                <w:sz w:val="32"/>
                <w:szCs w:val="32"/>
              </w:rPr>
            </w:pPr>
            <w:r>
              <w:rPr>
                <w:rFonts w:hint="eastAsia" w:ascii="仿宋_GB2312" w:hAnsi="宋体" w:eastAsia="仿宋_GB2312"/>
                <w:sz w:val="32"/>
                <w:szCs w:val="32"/>
              </w:rPr>
              <w:t>书</w:t>
            </w:r>
          </w:p>
          <w:p>
            <w:pPr>
              <w:jc w:val="both"/>
              <w:rPr>
                <w:rFonts w:hint="eastAsia" w:ascii="仿宋_GB2312" w:hAnsi="宋体" w:eastAsia="仿宋_GB2312"/>
                <w:sz w:val="32"/>
                <w:szCs w:val="32"/>
              </w:rPr>
            </w:pPr>
            <w:r>
              <w:rPr>
                <w:rFonts w:hint="eastAsia" w:ascii="仿宋_GB2312" w:hAnsi="宋体" w:eastAsia="仿宋_GB2312"/>
                <w:sz w:val="32"/>
                <w:szCs w:val="32"/>
              </w:rPr>
              <w:t>面</w:t>
            </w:r>
          </w:p>
          <w:p>
            <w:pPr>
              <w:jc w:val="both"/>
              <w:rPr>
                <w:rFonts w:hint="eastAsia" w:ascii="仿宋_GB2312" w:hAnsi="宋体" w:eastAsia="仿宋_GB2312"/>
                <w:sz w:val="32"/>
                <w:szCs w:val="32"/>
              </w:rPr>
            </w:pPr>
            <w:r>
              <w:rPr>
                <w:rFonts w:hint="eastAsia" w:ascii="仿宋_GB2312" w:hAnsi="宋体" w:eastAsia="仿宋_GB2312"/>
                <w:sz w:val="32"/>
                <w:szCs w:val="32"/>
              </w:rPr>
              <w:t>检</w:t>
            </w:r>
          </w:p>
          <w:p>
            <w:pPr>
              <w:jc w:val="both"/>
              <w:rPr>
                <w:rFonts w:hint="eastAsia" w:ascii="仿宋_GB2312" w:hAnsi="宋体" w:eastAsia="仿宋_GB2312"/>
                <w:sz w:val="32"/>
                <w:szCs w:val="32"/>
              </w:rPr>
            </w:pPr>
            <w:r>
              <w:rPr>
                <w:rFonts w:hint="eastAsia" w:ascii="仿宋_GB2312" w:hAnsi="宋体" w:eastAsia="仿宋_GB2312"/>
                <w:sz w:val="32"/>
                <w:szCs w:val="32"/>
              </w:rPr>
              <w:t>查</w:t>
            </w:r>
          </w:p>
          <w:p>
            <w:pPr>
              <w:jc w:val="both"/>
              <w:rPr>
                <w:rFonts w:hint="eastAsia" w:ascii="仿宋_GB2312" w:hAnsi="宋体" w:eastAsia="仿宋_GB2312"/>
                <w:sz w:val="32"/>
                <w:szCs w:val="32"/>
              </w:rPr>
            </w:pPr>
            <w:r>
              <w:rPr>
                <w:rFonts w:hint="eastAsia" w:ascii="仿宋_GB2312" w:hAnsi="宋体" w:eastAsia="仿宋_GB2312"/>
                <w:sz w:val="32"/>
                <w:szCs w:val="32"/>
              </w:rPr>
              <w:t>、</w:t>
            </w:r>
          </w:p>
          <w:p>
            <w:pPr>
              <w:jc w:val="both"/>
              <w:rPr>
                <w:rFonts w:hint="eastAsia" w:ascii="仿宋_GB2312" w:hAnsi="宋体" w:eastAsia="仿宋_GB2312"/>
                <w:sz w:val="32"/>
                <w:szCs w:val="32"/>
              </w:rPr>
            </w:pPr>
            <w:r>
              <w:rPr>
                <w:rFonts w:hint="eastAsia" w:ascii="仿宋_GB2312" w:hAnsi="宋体" w:eastAsia="仿宋_GB2312"/>
                <w:sz w:val="32"/>
                <w:szCs w:val="32"/>
              </w:rPr>
              <w:t>网</w:t>
            </w:r>
          </w:p>
          <w:p>
            <w:pPr>
              <w:jc w:val="both"/>
              <w:rPr>
                <w:rFonts w:hint="eastAsia" w:ascii="仿宋_GB2312" w:hAnsi="宋体" w:eastAsia="仿宋_GB2312"/>
                <w:sz w:val="32"/>
                <w:szCs w:val="32"/>
              </w:rPr>
            </w:pPr>
            <w:r>
              <w:rPr>
                <w:rFonts w:hint="eastAsia" w:ascii="仿宋_GB2312" w:hAnsi="宋体" w:eastAsia="仿宋_GB2312"/>
                <w:sz w:val="32"/>
                <w:szCs w:val="32"/>
              </w:rPr>
              <w:t>络</w:t>
            </w:r>
          </w:p>
          <w:p>
            <w:pPr>
              <w:jc w:val="both"/>
              <w:rPr>
                <w:rFonts w:hint="eastAsia" w:ascii="仿宋_GB2312" w:hAnsi="宋体" w:eastAsia="仿宋_GB2312"/>
                <w:sz w:val="32"/>
                <w:szCs w:val="32"/>
              </w:rPr>
            </w:pPr>
            <w:r>
              <w:rPr>
                <w:rFonts w:hint="eastAsia" w:ascii="仿宋_GB2312" w:hAnsi="宋体" w:eastAsia="仿宋_GB2312"/>
                <w:sz w:val="32"/>
                <w:szCs w:val="32"/>
              </w:rPr>
              <w:t>监</w:t>
            </w:r>
          </w:p>
          <w:p>
            <w:pPr>
              <w:jc w:val="both"/>
              <w:rPr>
                <w:rFonts w:hint="default"/>
                <w:sz w:val="44"/>
                <w:szCs w:val="44"/>
                <w:vertAlign w:val="baseline"/>
                <w:lang w:val="en-US" w:eastAsia="zh-CN"/>
              </w:rPr>
            </w:pPr>
            <w:r>
              <w:rPr>
                <w:rFonts w:hint="eastAsia" w:ascii="仿宋_GB2312" w:hAnsi="宋体" w:eastAsia="仿宋_GB2312"/>
                <w:sz w:val="32"/>
                <w:szCs w:val="32"/>
              </w:rPr>
              <w:t>测</w:t>
            </w:r>
          </w:p>
        </w:tc>
        <w:tc>
          <w:tcPr>
            <w:tcW w:w="870" w:type="dxa"/>
          </w:tcPr>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市殡仪馆</w:t>
            </w:r>
          </w:p>
        </w:tc>
        <w:tc>
          <w:tcPr>
            <w:tcW w:w="885" w:type="dxa"/>
          </w:tcPr>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default"/>
                <w:sz w:val="44"/>
                <w:szCs w:val="44"/>
                <w:vertAlign w:val="baseline"/>
                <w:lang w:val="en-US" w:eastAsia="zh-CN"/>
              </w:rPr>
            </w:pPr>
            <w:r>
              <w:rPr>
                <w:rFonts w:hint="eastAsia" w:ascii="仿宋_GB2312" w:hAnsi="宋体" w:eastAsia="仿宋_GB2312"/>
                <w:sz w:val="32"/>
                <w:szCs w:val="32"/>
                <w:lang w:val="en-US" w:eastAsia="zh-CN"/>
              </w:rPr>
              <w:t>100%</w:t>
            </w:r>
          </w:p>
        </w:tc>
        <w:tc>
          <w:tcPr>
            <w:tcW w:w="945" w:type="dxa"/>
          </w:tcPr>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eastAsia" w:ascii="仿宋_GB2312" w:hAnsi="宋体" w:eastAsia="仿宋_GB2312"/>
                <w:sz w:val="32"/>
                <w:szCs w:val="32"/>
                <w:lang w:val="en-US" w:eastAsia="zh-CN"/>
              </w:rPr>
            </w:pPr>
          </w:p>
          <w:p>
            <w:pPr>
              <w:jc w:val="both"/>
              <w:rPr>
                <w:rFonts w:hint="default"/>
                <w:sz w:val="44"/>
                <w:szCs w:val="44"/>
                <w:vertAlign w:val="baseline"/>
                <w:lang w:val="en-US" w:eastAsia="zh-CN"/>
              </w:rPr>
            </w:pPr>
            <w:r>
              <w:rPr>
                <w:rFonts w:hint="eastAsia" w:ascii="仿宋_GB2312" w:hAnsi="宋体" w:eastAsia="仿宋_GB2312"/>
                <w:sz w:val="32"/>
                <w:szCs w:val="32"/>
                <w:lang w:val="en-US" w:eastAsia="zh-CN"/>
              </w:rPr>
              <w:t>6次/年</w:t>
            </w:r>
          </w:p>
        </w:tc>
        <w:tc>
          <w:tcPr>
            <w:tcW w:w="855" w:type="dxa"/>
          </w:tcPr>
          <w:p>
            <w:pPr>
              <w:jc w:val="both"/>
              <w:rPr>
                <w:rFonts w:hint="default"/>
                <w:sz w:val="44"/>
                <w:szCs w:val="44"/>
                <w:vertAlign w:val="baseline"/>
                <w:lang w:val="en-US" w:eastAsia="zh-CN"/>
              </w:rPr>
            </w:pPr>
          </w:p>
        </w:tc>
      </w:tr>
    </w:tbl>
    <w:p>
      <w:pPr>
        <w:jc w:val="both"/>
        <w:rPr>
          <w:rFonts w:hint="default"/>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F2EFF"/>
    <w:rsid w:val="0B4311A6"/>
    <w:rsid w:val="0E0D7954"/>
    <w:rsid w:val="0FCF2EFF"/>
    <w:rsid w:val="1AA26F3F"/>
    <w:rsid w:val="276F1655"/>
    <w:rsid w:val="50995228"/>
    <w:rsid w:val="50E31A63"/>
    <w:rsid w:val="7F9F5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link w:val="6"/>
    <w:semiHidden/>
    <w:unhideWhenUsed/>
    <w:qFormat/>
    <w:uiPriority w:val="0"/>
    <w:pPr>
      <w:keepNext/>
      <w:keepLines/>
      <w:widowControl w:val="0"/>
      <w:spacing w:before="480" w:after="120"/>
      <w:ind w:left="0" w:leftChars="0" w:firstLine="0"/>
      <w:jc w:val="left"/>
      <w:outlineLvl w:val="1"/>
    </w:pPr>
    <w:rPr>
      <w:rFonts w:ascii="Times New Roman" w:hAnsi="Times New Roman" w:eastAsia="黑体" w:cs="Times New Roman"/>
      <w:kern w:val="2"/>
      <w:sz w:val="32"/>
      <w:szCs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2 Char"/>
    <w:link w:val="2"/>
    <w:qFormat/>
    <w:uiPriority w:val="0"/>
    <w:rPr>
      <w:rFonts w:ascii="Times New Roman" w:hAnsi="Times New Roman" w:eastAsia="黑体"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2021-07-19T19:29:00Z</dcterms:created>
  <dc:creator>赵玉峰</dc:creator>
  <cp:lastModifiedBy>greatwall</cp:lastModifiedBy>
  <dcterms:modified xsi:type="dcterms:W3CDTF">2021-07-30T16:27:08Z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